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ADF" w:rsidRPr="008578D4" w:rsidRDefault="00990ADF" w:rsidP="00990ADF">
      <w:pPr>
        <w:rPr>
          <w:b/>
          <w:sz w:val="28"/>
          <w:szCs w:val="28"/>
        </w:rPr>
      </w:pPr>
      <w:r w:rsidRPr="008578D4">
        <w:rPr>
          <w:b/>
          <w:sz w:val="28"/>
          <w:szCs w:val="28"/>
        </w:rPr>
        <w:t>ELABORACION DEL PERFIL INSTITUCIONAL</w:t>
      </w:r>
      <w:r>
        <w:rPr>
          <w:b/>
          <w:sz w:val="28"/>
          <w:szCs w:val="28"/>
        </w:rPr>
        <w:t xml:space="preserve"> (Tabla y Gráfica ilustrativa)</w:t>
      </w:r>
    </w:p>
    <w:p w:rsidR="00990ADF" w:rsidRPr="00977435" w:rsidRDefault="00990ADF" w:rsidP="00990ADF">
      <w:pPr>
        <w:rPr>
          <w:b/>
        </w:rPr>
      </w:pPr>
    </w:p>
    <w:p w:rsidR="00990ADF" w:rsidRDefault="00990ADF" w:rsidP="00990ADF"/>
    <w:p w:rsidR="00990ADF" w:rsidRDefault="00990ADF" w:rsidP="00990ADF"/>
    <w:p w:rsidR="00990ADF" w:rsidRDefault="00990ADF" w:rsidP="00990ADF"/>
    <w:tbl>
      <w:tblPr>
        <w:tblW w:w="13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35"/>
        <w:gridCol w:w="1417"/>
        <w:gridCol w:w="1276"/>
        <w:gridCol w:w="1276"/>
        <w:gridCol w:w="1417"/>
        <w:gridCol w:w="1559"/>
        <w:gridCol w:w="1418"/>
        <w:gridCol w:w="1417"/>
        <w:gridCol w:w="1560"/>
      </w:tblGrid>
      <w:tr w:rsidR="00990ADF" w:rsidTr="00990AD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0ADF" w:rsidRPr="00174C05" w:rsidRDefault="00990ADF" w:rsidP="00990ADF">
            <w:bookmarkStart w:id="0" w:name="OLE_LINK1"/>
            <w:bookmarkStart w:id="1" w:name="OLE_LINK2"/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</w:tcPr>
          <w:p w:rsidR="00990ADF" w:rsidRPr="00174C05" w:rsidRDefault="00990ADF" w:rsidP="00990ADF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174C05">
              <w:rPr>
                <w:b/>
                <w:color w:val="FF0000"/>
                <w:sz w:val="28"/>
                <w:szCs w:val="28"/>
              </w:rPr>
              <w:t>GESTION DIRECTIVA</w:t>
            </w:r>
          </w:p>
        </w:tc>
        <w:tc>
          <w:tcPr>
            <w:tcW w:w="2693" w:type="dxa"/>
            <w:gridSpan w:val="2"/>
          </w:tcPr>
          <w:p w:rsidR="00990ADF" w:rsidRPr="00174C05" w:rsidRDefault="00990ADF" w:rsidP="00990ADF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174C05">
              <w:rPr>
                <w:b/>
                <w:color w:val="FF0000"/>
                <w:sz w:val="28"/>
                <w:szCs w:val="28"/>
              </w:rPr>
              <w:t>GESTION ACADEMICA</w:t>
            </w:r>
          </w:p>
        </w:tc>
        <w:tc>
          <w:tcPr>
            <w:tcW w:w="2977" w:type="dxa"/>
            <w:gridSpan w:val="2"/>
          </w:tcPr>
          <w:p w:rsidR="00990ADF" w:rsidRPr="00174C05" w:rsidRDefault="00990ADF" w:rsidP="00990ADF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174C05">
              <w:rPr>
                <w:b/>
                <w:color w:val="FF0000"/>
                <w:sz w:val="28"/>
                <w:szCs w:val="28"/>
              </w:rPr>
              <w:t>GESTION ADMINISTRATIVA Y FINANCIERA</w:t>
            </w:r>
          </w:p>
        </w:tc>
        <w:tc>
          <w:tcPr>
            <w:tcW w:w="2977" w:type="dxa"/>
            <w:gridSpan w:val="2"/>
          </w:tcPr>
          <w:p w:rsidR="00990ADF" w:rsidRPr="00174C05" w:rsidRDefault="00990ADF" w:rsidP="00990ADF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174C05">
              <w:rPr>
                <w:b/>
                <w:color w:val="FF0000"/>
                <w:sz w:val="28"/>
                <w:szCs w:val="28"/>
              </w:rPr>
              <w:t>GESTION DE LA COMUNIDAD</w:t>
            </w:r>
          </w:p>
        </w:tc>
      </w:tr>
      <w:tr w:rsidR="00990ADF" w:rsidTr="00990ADF"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ADF" w:rsidRPr="00174C05" w:rsidRDefault="00990ADF" w:rsidP="00990ADF"/>
        </w:tc>
        <w:tc>
          <w:tcPr>
            <w:tcW w:w="1417" w:type="dxa"/>
            <w:tcBorders>
              <w:left w:val="single" w:sz="4" w:space="0" w:color="auto"/>
            </w:tcBorders>
          </w:tcPr>
          <w:p w:rsidR="00990ADF" w:rsidRPr="00174C05" w:rsidRDefault="00990ADF" w:rsidP="00990ADF">
            <w:pPr>
              <w:rPr>
                <w:b/>
              </w:rPr>
            </w:pPr>
            <w:r w:rsidRPr="00174C05">
              <w:rPr>
                <w:b/>
                <w:sz w:val="22"/>
                <w:szCs w:val="22"/>
              </w:rPr>
              <w:t>Frecuencia</w:t>
            </w:r>
          </w:p>
        </w:tc>
        <w:tc>
          <w:tcPr>
            <w:tcW w:w="1276" w:type="dxa"/>
          </w:tcPr>
          <w:p w:rsidR="00990ADF" w:rsidRPr="00174C05" w:rsidRDefault="00990ADF" w:rsidP="00990ADF">
            <w:pPr>
              <w:rPr>
                <w:b/>
              </w:rPr>
            </w:pPr>
            <w:r w:rsidRPr="00174C05">
              <w:rPr>
                <w:b/>
                <w:sz w:val="22"/>
                <w:szCs w:val="22"/>
              </w:rPr>
              <w:t>Porcentaje</w:t>
            </w:r>
          </w:p>
        </w:tc>
        <w:tc>
          <w:tcPr>
            <w:tcW w:w="1276" w:type="dxa"/>
          </w:tcPr>
          <w:p w:rsidR="00990ADF" w:rsidRPr="00174C05" w:rsidRDefault="00990ADF" w:rsidP="00990ADF">
            <w:pPr>
              <w:rPr>
                <w:b/>
              </w:rPr>
            </w:pPr>
            <w:r w:rsidRPr="00174C05">
              <w:rPr>
                <w:b/>
                <w:sz w:val="22"/>
                <w:szCs w:val="22"/>
              </w:rPr>
              <w:t>Frecuencia</w:t>
            </w:r>
          </w:p>
        </w:tc>
        <w:tc>
          <w:tcPr>
            <w:tcW w:w="1417" w:type="dxa"/>
          </w:tcPr>
          <w:p w:rsidR="00990ADF" w:rsidRPr="00174C05" w:rsidRDefault="00990ADF" w:rsidP="00990ADF">
            <w:pPr>
              <w:rPr>
                <w:b/>
              </w:rPr>
            </w:pPr>
            <w:r w:rsidRPr="00174C05">
              <w:rPr>
                <w:b/>
                <w:sz w:val="22"/>
                <w:szCs w:val="22"/>
              </w:rPr>
              <w:t>Porcentaje</w:t>
            </w:r>
          </w:p>
        </w:tc>
        <w:tc>
          <w:tcPr>
            <w:tcW w:w="1559" w:type="dxa"/>
          </w:tcPr>
          <w:p w:rsidR="00990ADF" w:rsidRPr="00174C05" w:rsidRDefault="00990ADF" w:rsidP="00990ADF">
            <w:pPr>
              <w:rPr>
                <w:b/>
              </w:rPr>
            </w:pPr>
            <w:r w:rsidRPr="00174C05">
              <w:rPr>
                <w:b/>
                <w:sz w:val="22"/>
                <w:szCs w:val="22"/>
              </w:rPr>
              <w:t>Frecuencia</w:t>
            </w:r>
          </w:p>
        </w:tc>
        <w:tc>
          <w:tcPr>
            <w:tcW w:w="1418" w:type="dxa"/>
          </w:tcPr>
          <w:p w:rsidR="00990ADF" w:rsidRPr="00174C05" w:rsidRDefault="00990ADF" w:rsidP="00990ADF">
            <w:pPr>
              <w:rPr>
                <w:b/>
              </w:rPr>
            </w:pPr>
            <w:r w:rsidRPr="00174C05">
              <w:rPr>
                <w:b/>
                <w:sz w:val="22"/>
                <w:szCs w:val="22"/>
              </w:rPr>
              <w:t>Porcentaje</w:t>
            </w:r>
          </w:p>
        </w:tc>
        <w:tc>
          <w:tcPr>
            <w:tcW w:w="1417" w:type="dxa"/>
          </w:tcPr>
          <w:p w:rsidR="00990ADF" w:rsidRPr="00174C05" w:rsidRDefault="00990ADF" w:rsidP="00990ADF">
            <w:pPr>
              <w:rPr>
                <w:b/>
              </w:rPr>
            </w:pPr>
            <w:r w:rsidRPr="00174C05">
              <w:rPr>
                <w:b/>
                <w:sz w:val="22"/>
                <w:szCs w:val="22"/>
              </w:rPr>
              <w:t>Frecuencia</w:t>
            </w:r>
          </w:p>
        </w:tc>
        <w:tc>
          <w:tcPr>
            <w:tcW w:w="1560" w:type="dxa"/>
          </w:tcPr>
          <w:p w:rsidR="00990ADF" w:rsidRPr="00174C05" w:rsidRDefault="00990ADF" w:rsidP="00990ADF">
            <w:pPr>
              <w:rPr>
                <w:b/>
              </w:rPr>
            </w:pPr>
            <w:r w:rsidRPr="00174C05">
              <w:rPr>
                <w:b/>
                <w:sz w:val="22"/>
                <w:szCs w:val="22"/>
              </w:rPr>
              <w:t>Porcentaje</w:t>
            </w:r>
          </w:p>
        </w:tc>
      </w:tr>
      <w:tr w:rsidR="00990ADF" w:rsidRPr="00681334" w:rsidTr="00990ADF">
        <w:tc>
          <w:tcPr>
            <w:tcW w:w="2235" w:type="dxa"/>
            <w:tcBorders>
              <w:top w:val="single" w:sz="4" w:space="0" w:color="auto"/>
            </w:tcBorders>
          </w:tcPr>
          <w:p w:rsidR="00990ADF" w:rsidRPr="002466CC" w:rsidRDefault="00990ADF" w:rsidP="00990ADF">
            <w:pPr>
              <w:rPr>
                <w:b/>
                <w:sz w:val="20"/>
                <w:szCs w:val="20"/>
              </w:rPr>
            </w:pPr>
          </w:p>
          <w:p w:rsidR="00990ADF" w:rsidRPr="002466CC" w:rsidRDefault="00990ADF" w:rsidP="00990ADF">
            <w:pPr>
              <w:rPr>
                <w:b/>
                <w:sz w:val="20"/>
                <w:szCs w:val="20"/>
              </w:rPr>
            </w:pPr>
            <w:r w:rsidRPr="002466CC">
              <w:rPr>
                <w:b/>
                <w:sz w:val="20"/>
                <w:szCs w:val="20"/>
              </w:rPr>
              <w:t>1.  EXISTENCIA</w:t>
            </w:r>
          </w:p>
          <w:p w:rsidR="00990ADF" w:rsidRPr="002466CC" w:rsidRDefault="00990ADF" w:rsidP="00990ADF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1</w:t>
            </w:r>
          </w:p>
        </w:tc>
        <w:tc>
          <w:tcPr>
            <w:tcW w:w="1276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3%</w:t>
            </w:r>
          </w:p>
        </w:tc>
        <w:tc>
          <w:tcPr>
            <w:tcW w:w="1276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0</w:t>
            </w:r>
          </w:p>
        </w:tc>
        <w:tc>
          <w:tcPr>
            <w:tcW w:w="1417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0%</w:t>
            </w:r>
          </w:p>
        </w:tc>
        <w:tc>
          <w:tcPr>
            <w:tcW w:w="1559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7</w:t>
            </w:r>
          </w:p>
        </w:tc>
        <w:tc>
          <w:tcPr>
            <w:tcW w:w="1418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27%</w:t>
            </w:r>
          </w:p>
        </w:tc>
        <w:tc>
          <w:tcPr>
            <w:tcW w:w="1417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5</w:t>
            </w:r>
          </w:p>
        </w:tc>
        <w:tc>
          <w:tcPr>
            <w:tcW w:w="1560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36%</w:t>
            </w:r>
          </w:p>
        </w:tc>
      </w:tr>
      <w:tr w:rsidR="00990ADF" w:rsidRPr="00681334" w:rsidTr="00990ADF">
        <w:tc>
          <w:tcPr>
            <w:tcW w:w="2235" w:type="dxa"/>
          </w:tcPr>
          <w:p w:rsidR="00990ADF" w:rsidRPr="002466CC" w:rsidRDefault="00990ADF" w:rsidP="00990ADF">
            <w:pPr>
              <w:rPr>
                <w:b/>
                <w:sz w:val="20"/>
                <w:szCs w:val="20"/>
              </w:rPr>
            </w:pPr>
          </w:p>
          <w:p w:rsidR="00990ADF" w:rsidRPr="002466CC" w:rsidRDefault="00990ADF" w:rsidP="00990ADF">
            <w:pPr>
              <w:rPr>
                <w:b/>
                <w:sz w:val="20"/>
                <w:szCs w:val="20"/>
              </w:rPr>
            </w:pPr>
            <w:r w:rsidRPr="002466CC">
              <w:rPr>
                <w:b/>
                <w:sz w:val="20"/>
                <w:szCs w:val="20"/>
              </w:rPr>
              <w:t>2. PERTINENCIA</w:t>
            </w:r>
          </w:p>
          <w:p w:rsidR="00990ADF" w:rsidRPr="002466CC" w:rsidRDefault="00990ADF" w:rsidP="00990ADF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2</w:t>
            </w:r>
          </w:p>
        </w:tc>
        <w:tc>
          <w:tcPr>
            <w:tcW w:w="1276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6%</w:t>
            </w:r>
          </w:p>
        </w:tc>
        <w:tc>
          <w:tcPr>
            <w:tcW w:w="1276" w:type="dxa"/>
            <w:vAlign w:val="bottom"/>
          </w:tcPr>
          <w:p w:rsidR="00990ADF" w:rsidRPr="001D1DAD" w:rsidRDefault="007F65DE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3</w:t>
            </w:r>
          </w:p>
        </w:tc>
        <w:tc>
          <w:tcPr>
            <w:tcW w:w="1417" w:type="dxa"/>
            <w:vAlign w:val="bottom"/>
          </w:tcPr>
          <w:p w:rsidR="00990ADF" w:rsidRPr="001D1DAD" w:rsidRDefault="00990ADF" w:rsidP="007F65DE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1</w:t>
            </w:r>
            <w:r w:rsidR="007F65DE">
              <w:rPr>
                <w:rFonts w:ascii="Calibri" w:hAnsi="Calibri" w:cs="Calibri"/>
                <w:b/>
                <w:sz w:val="36"/>
                <w:szCs w:val="36"/>
              </w:rPr>
              <w:t>5</w:t>
            </w:r>
            <w:r>
              <w:rPr>
                <w:rFonts w:ascii="Calibri" w:hAnsi="Calibri" w:cs="Calibri"/>
                <w:b/>
                <w:sz w:val="36"/>
                <w:szCs w:val="36"/>
              </w:rPr>
              <w:t>%</w:t>
            </w:r>
          </w:p>
        </w:tc>
        <w:tc>
          <w:tcPr>
            <w:tcW w:w="1559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3</w:t>
            </w:r>
          </w:p>
        </w:tc>
        <w:tc>
          <w:tcPr>
            <w:tcW w:w="1418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11%</w:t>
            </w:r>
          </w:p>
        </w:tc>
        <w:tc>
          <w:tcPr>
            <w:tcW w:w="1417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2</w:t>
            </w:r>
          </w:p>
        </w:tc>
        <w:tc>
          <w:tcPr>
            <w:tcW w:w="1560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14%</w:t>
            </w:r>
          </w:p>
        </w:tc>
      </w:tr>
      <w:tr w:rsidR="00990ADF" w:rsidRPr="00681334" w:rsidTr="00990ADF">
        <w:tc>
          <w:tcPr>
            <w:tcW w:w="2235" w:type="dxa"/>
          </w:tcPr>
          <w:p w:rsidR="00990ADF" w:rsidRPr="002466CC" w:rsidRDefault="00990ADF" w:rsidP="00990ADF">
            <w:pPr>
              <w:rPr>
                <w:b/>
                <w:sz w:val="20"/>
                <w:szCs w:val="20"/>
              </w:rPr>
            </w:pPr>
          </w:p>
          <w:p w:rsidR="00990ADF" w:rsidRPr="002466CC" w:rsidRDefault="00990ADF" w:rsidP="00990ADF">
            <w:pPr>
              <w:rPr>
                <w:b/>
                <w:sz w:val="20"/>
                <w:szCs w:val="20"/>
              </w:rPr>
            </w:pPr>
            <w:r w:rsidRPr="002466CC">
              <w:rPr>
                <w:b/>
                <w:sz w:val="20"/>
                <w:szCs w:val="20"/>
              </w:rPr>
              <w:t>3. APROPIACION</w:t>
            </w:r>
          </w:p>
          <w:p w:rsidR="00990ADF" w:rsidRPr="002466CC" w:rsidRDefault="00990ADF" w:rsidP="00990ADF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19</w:t>
            </w:r>
          </w:p>
        </w:tc>
        <w:tc>
          <w:tcPr>
            <w:tcW w:w="1276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56%</w:t>
            </w:r>
          </w:p>
        </w:tc>
        <w:tc>
          <w:tcPr>
            <w:tcW w:w="1276" w:type="dxa"/>
            <w:vAlign w:val="bottom"/>
          </w:tcPr>
          <w:p w:rsidR="00990ADF" w:rsidRPr="001D1DAD" w:rsidRDefault="007F65DE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10</w:t>
            </w:r>
          </w:p>
        </w:tc>
        <w:tc>
          <w:tcPr>
            <w:tcW w:w="1417" w:type="dxa"/>
            <w:vAlign w:val="bottom"/>
          </w:tcPr>
          <w:p w:rsidR="00990ADF" w:rsidRPr="001D1DAD" w:rsidRDefault="007F65DE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53</w:t>
            </w:r>
            <w:r w:rsidR="00990ADF">
              <w:rPr>
                <w:rFonts w:ascii="Calibri" w:hAnsi="Calibri" w:cs="Calibri"/>
                <w:b/>
                <w:sz w:val="36"/>
                <w:szCs w:val="36"/>
              </w:rPr>
              <w:t>%</w:t>
            </w:r>
          </w:p>
        </w:tc>
        <w:tc>
          <w:tcPr>
            <w:tcW w:w="1559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7</w:t>
            </w:r>
          </w:p>
        </w:tc>
        <w:tc>
          <w:tcPr>
            <w:tcW w:w="1418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27%</w:t>
            </w:r>
          </w:p>
        </w:tc>
        <w:tc>
          <w:tcPr>
            <w:tcW w:w="1417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4</w:t>
            </w:r>
          </w:p>
        </w:tc>
        <w:tc>
          <w:tcPr>
            <w:tcW w:w="1560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29%</w:t>
            </w:r>
          </w:p>
        </w:tc>
      </w:tr>
      <w:tr w:rsidR="00990ADF" w:rsidRPr="00681334" w:rsidTr="00990ADF">
        <w:tc>
          <w:tcPr>
            <w:tcW w:w="2235" w:type="dxa"/>
          </w:tcPr>
          <w:p w:rsidR="00990ADF" w:rsidRPr="002466CC" w:rsidRDefault="00990ADF" w:rsidP="00990ADF">
            <w:pPr>
              <w:rPr>
                <w:b/>
                <w:sz w:val="20"/>
                <w:szCs w:val="20"/>
              </w:rPr>
            </w:pPr>
          </w:p>
          <w:p w:rsidR="00990ADF" w:rsidRPr="002466CC" w:rsidRDefault="00990ADF" w:rsidP="00990ADF">
            <w:pPr>
              <w:rPr>
                <w:b/>
                <w:sz w:val="20"/>
                <w:szCs w:val="20"/>
              </w:rPr>
            </w:pPr>
            <w:r w:rsidRPr="002466CC">
              <w:rPr>
                <w:b/>
                <w:sz w:val="20"/>
                <w:szCs w:val="20"/>
              </w:rPr>
              <w:t>4. MEJORAMIENTO</w:t>
            </w:r>
          </w:p>
          <w:p w:rsidR="00990ADF" w:rsidRPr="002466CC" w:rsidRDefault="00990ADF" w:rsidP="00990ADF">
            <w:pPr>
              <w:rPr>
                <w:b/>
                <w:sz w:val="20"/>
                <w:szCs w:val="20"/>
              </w:rPr>
            </w:pPr>
            <w:r w:rsidRPr="002466CC">
              <w:rPr>
                <w:b/>
                <w:sz w:val="20"/>
                <w:szCs w:val="20"/>
              </w:rPr>
              <w:t xml:space="preserve">    CONTINUO</w:t>
            </w:r>
          </w:p>
        </w:tc>
        <w:tc>
          <w:tcPr>
            <w:tcW w:w="1417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12</w:t>
            </w:r>
          </w:p>
        </w:tc>
        <w:tc>
          <w:tcPr>
            <w:tcW w:w="1276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35%</w:t>
            </w:r>
          </w:p>
        </w:tc>
        <w:tc>
          <w:tcPr>
            <w:tcW w:w="1276" w:type="dxa"/>
            <w:vAlign w:val="bottom"/>
          </w:tcPr>
          <w:p w:rsidR="00990ADF" w:rsidRPr="001D1DAD" w:rsidRDefault="007F65DE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6</w:t>
            </w:r>
          </w:p>
        </w:tc>
        <w:tc>
          <w:tcPr>
            <w:tcW w:w="1417" w:type="dxa"/>
            <w:vAlign w:val="bottom"/>
          </w:tcPr>
          <w:p w:rsidR="00990ADF" w:rsidRPr="001D1DAD" w:rsidRDefault="007F65DE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3</w:t>
            </w:r>
            <w:r w:rsidR="00990ADF">
              <w:rPr>
                <w:rFonts w:ascii="Calibri" w:hAnsi="Calibri" w:cs="Calibri"/>
                <w:b/>
                <w:sz w:val="36"/>
                <w:szCs w:val="36"/>
              </w:rPr>
              <w:t>2%</w:t>
            </w:r>
          </w:p>
        </w:tc>
        <w:tc>
          <w:tcPr>
            <w:tcW w:w="1559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9</w:t>
            </w:r>
          </w:p>
        </w:tc>
        <w:tc>
          <w:tcPr>
            <w:tcW w:w="1418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35%</w:t>
            </w:r>
          </w:p>
        </w:tc>
        <w:tc>
          <w:tcPr>
            <w:tcW w:w="1417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3</w:t>
            </w:r>
          </w:p>
        </w:tc>
        <w:tc>
          <w:tcPr>
            <w:tcW w:w="1560" w:type="dxa"/>
            <w:vAlign w:val="bottom"/>
          </w:tcPr>
          <w:p w:rsidR="00990ADF" w:rsidRPr="001D1DAD" w:rsidRDefault="00990ADF" w:rsidP="00990ADF">
            <w:pPr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21%</w:t>
            </w:r>
          </w:p>
        </w:tc>
      </w:tr>
      <w:bookmarkEnd w:id="0"/>
      <w:bookmarkEnd w:id="1"/>
    </w:tbl>
    <w:p w:rsidR="00990ADF" w:rsidRDefault="00990ADF" w:rsidP="00990ADF"/>
    <w:p w:rsidR="00990ADF" w:rsidRDefault="00990ADF" w:rsidP="00990ADF"/>
    <w:p w:rsidR="00990ADF" w:rsidRDefault="00990ADF" w:rsidP="00990ADF"/>
    <w:p w:rsidR="00990ADF" w:rsidRDefault="00990ADF" w:rsidP="00990ADF"/>
    <w:p w:rsidR="00990ADF" w:rsidRDefault="00990ADF" w:rsidP="00990ADF"/>
    <w:p w:rsidR="00990ADF" w:rsidRDefault="00990ADF" w:rsidP="00990ADF"/>
    <w:p w:rsidR="00990ADF" w:rsidRDefault="00990ADF" w:rsidP="00990ADF"/>
    <w:p w:rsidR="00990ADF" w:rsidRDefault="00990ADF" w:rsidP="00990ADF"/>
    <w:p w:rsidR="00990ADF" w:rsidRDefault="00990ADF" w:rsidP="00990ADF"/>
    <w:p w:rsidR="00990ADF" w:rsidRDefault="00990ADF" w:rsidP="00990ADF">
      <w:pPr>
        <w:rPr>
          <w:noProof/>
          <w:lang w:val="en-US" w:eastAsia="en-US"/>
        </w:rPr>
      </w:pPr>
    </w:p>
    <w:p w:rsidR="00990ADF" w:rsidRDefault="007F65DE" w:rsidP="00990ADF">
      <w:pPr>
        <w:rPr>
          <w:noProof/>
          <w:lang w:val="en-US"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1202323</wp:posOffset>
            </wp:positionH>
            <wp:positionV relativeFrom="paragraph">
              <wp:posOffset>-329394</wp:posOffset>
            </wp:positionV>
            <wp:extent cx="7010315" cy="2927814"/>
            <wp:effectExtent l="18683" t="6521" r="9342" b="0"/>
            <wp:wrapNone/>
            <wp:docPr id="5" name="Gráfico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</w:p>
    <w:p w:rsidR="00990ADF" w:rsidRPr="00B00D42" w:rsidRDefault="00990ADF" w:rsidP="00990ADF">
      <w:pPr>
        <w:rPr>
          <w:noProof/>
          <w:lang w:val="en-US" w:eastAsia="en-US"/>
        </w:rPr>
      </w:pPr>
      <w:r>
        <w:rPr>
          <w:noProof/>
          <w:lang w:val="en-US" w:eastAsia="en-US"/>
        </w:rPr>
        <w:br w:type="textWrapping" w:clear="all"/>
      </w:r>
    </w:p>
    <w:p w:rsidR="00990ADF" w:rsidRDefault="00990ADF" w:rsidP="00990ADF"/>
    <w:p w:rsidR="00990ADF" w:rsidRDefault="00990ADF" w:rsidP="00990ADF"/>
    <w:p w:rsidR="007F65DE" w:rsidRDefault="007F65DE" w:rsidP="00990ADF">
      <w:pPr>
        <w:jc w:val="both"/>
      </w:pPr>
    </w:p>
    <w:p w:rsidR="007F65DE" w:rsidRDefault="007F65DE" w:rsidP="00990ADF">
      <w:pPr>
        <w:jc w:val="both"/>
      </w:pPr>
    </w:p>
    <w:p w:rsidR="007F65DE" w:rsidRDefault="007F65DE" w:rsidP="00990ADF">
      <w:pPr>
        <w:jc w:val="both"/>
      </w:pPr>
    </w:p>
    <w:p w:rsidR="007F65DE" w:rsidRDefault="007F65DE" w:rsidP="00990ADF">
      <w:pPr>
        <w:jc w:val="both"/>
      </w:pPr>
    </w:p>
    <w:p w:rsidR="007F65DE" w:rsidRDefault="007F65DE" w:rsidP="00990ADF">
      <w:pPr>
        <w:jc w:val="both"/>
      </w:pPr>
    </w:p>
    <w:p w:rsidR="007F65DE" w:rsidRDefault="007F65DE" w:rsidP="00990ADF">
      <w:pPr>
        <w:jc w:val="both"/>
      </w:pPr>
    </w:p>
    <w:p w:rsidR="007F65DE" w:rsidRDefault="007F65DE" w:rsidP="00990ADF">
      <w:pPr>
        <w:jc w:val="both"/>
      </w:pPr>
    </w:p>
    <w:p w:rsidR="007F65DE" w:rsidRDefault="007F65DE" w:rsidP="00990ADF">
      <w:pPr>
        <w:jc w:val="both"/>
      </w:pPr>
    </w:p>
    <w:p w:rsidR="007F65DE" w:rsidRDefault="007F65DE" w:rsidP="00990ADF">
      <w:pPr>
        <w:jc w:val="both"/>
      </w:pPr>
    </w:p>
    <w:p w:rsidR="007F65DE" w:rsidRDefault="007F65DE" w:rsidP="00990ADF">
      <w:pPr>
        <w:jc w:val="both"/>
      </w:pPr>
    </w:p>
    <w:p w:rsidR="007F65DE" w:rsidRDefault="007F65DE" w:rsidP="00990ADF">
      <w:pPr>
        <w:jc w:val="both"/>
      </w:pPr>
    </w:p>
    <w:p w:rsidR="007F65DE" w:rsidRDefault="00990ADF" w:rsidP="00990ADF">
      <w:pPr>
        <w:jc w:val="both"/>
      </w:pPr>
      <w:r>
        <w:t>De acuerdo a la gráfica que se ilustra y los datos arrojados en esta autoevaluación, la institución tiene un  perfil institucional con mayor porce</w:t>
      </w:r>
      <w:r w:rsidR="007F65DE">
        <w:t>ntaje en la escala de APROPIACION</w:t>
      </w:r>
      <w:r>
        <w:t xml:space="preserve"> en cada una de sus gestiones, seguido de la </w:t>
      </w:r>
      <w:r w:rsidR="007F65DE">
        <w:t>escala valorativa de MEJORAMIENTO CONTINUO</w:t>
      </w:r>
      <w:r>
        <w:t xml:space="preserve">,  lo que demuestra un desarrollo parcial de los procesos y componentes que se manejan al interior del ambiente educativo; se hace indispensable planificar debidamente las acciones a ejecutar e involucrar a todos los actores que intervienen en el proceso educativo.  Es importante resaltar los principios de planeación  y articulación de los esfuerzos de cada una de las personas que integran el establecimiento, con miras a lograr los objetivos y las metas planteadas.  </w:t>
      </w:r>
    </w:p>
    <w:p w:rsidR="007F65DE" w:rsidRDefault="007F65DE" w:rsidP="00990ADF">
      <w:pPr>
        <w:jc w:val="both"/>
      </w:pPr>
    </w:p>
    <w:p w:rsidR="00990ADF" w:rsidRDefault="00990ADF" w:rsidP="00990ADF">
      <w:pPr>
        <w:jc w:val="both"/>
      </w:pPr>
      <w:r>
        <w:t>Es importante establecer unos compromisos sólidos para alcanzar un MEJORAMIENTO CONTINUO que conlleve a logros importantes, puesto que en estos momentos no tenemos un puntaje favorable en este aspecto.</w:t>
      </w:r>
    </w:p>
    <w:p w:rsidR="00C40403" w:rsidRDefault="00C40403"/>
    <w:sectPr w:rsidR="00C40403" w:rsidSect="00C40403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40403"/>
    <w:rsid w:val="00002B17"/>
    <w:rsid w:val="003D4B53"/>
    <w:rsid w:val="004E0078"/>
    <w:rsid w:val="007B3F11"/>
    <w:rsid w:val="007F65DE"/>
    <w:rsid w:val="00990ADF"/>
    <w:rsid w:val="00C40403"/>
    <w:rsid w:val="00DA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4B53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7F65D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F65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plotArea>
      <c:layout/>
      <c:barChart>
        <c:barDir val="col"/>
        <c:grouping val="clustered"/>
        <c:ser>
          <c:idx val="0"/>
          <c:order val="0"/>
          <c:tx>
            <c:strRef>
              <c:f>Hoja1!$A$4</c:f>
              <c:strCache>
                <c:ptCount val="1"/>
                <c:pt idx="0">
                  <c:v>1.  EXISTENCIA</c:v>
                </c:pt>
              </c:strCache>
            </c:strRef>
          </c:tx>
          <c:cat>
            <c:strRef>
              <c:f>Hoja1!$B$2:$I$3</c:f>
              <c:strCache>
                <c:ptCount val="7"/>
                <c:pt idx="0">
                  <c:v>GESTION DIRECTIVA</c:v>
                </c:pt>
                <c:pt idx="2">
                  <c:v>GESTION ACADEMICA</c:v>
                </c:pt>
                <c:pt idx="4">
                  <c:v>GESTION ADMINISTRATIVA Y FINANCIERA</c:v>
                </c:pt>
                <c:pt idx="6">
                  <c:v>GESTION DE LA COMUNIDAD</c:v>
                </c:pt>
              </c:strCache>
            </c:strRef>
          </c:cat>
          <c:val>
            <c:numRef>
              <c:f>Hoja1!$B$4:$I$4</c:f>
              <c:numCache>
                <c:formatCode>General</c:formatCode>
                <c:ptCount val="8"/>
                <c:pt idx="0" formatCode="0%">
                  <c:v>3.0000000000000009E-2</c:v>
                </c:pt>
                <c:pt idx="2" formatCode="0%">
                  <c:v>0</c:v>
                </c:pt>
                <c:pt idx="4" formatCode="0%">
                  <c:v>0.27</c:v>
                </c:pt>
                <c:pt idx="6" formatCode="0%">
                  <c:v>0.36000000000000015</c:v>
                </c:pt>
              </c:numCache>
            </c:numRef>
          </c:val>
        </c:ser>
        <c:ser>
          <c:idx val="1"/>
          <c:order val="1"/>
          <c:tx>
            <c:strRef>
              <c:f>Hoja1!$A$5</c:f>
              <c:strCache>
                <c:ptCount val="1"/>
                <c:pt idx="0">
                  <c:v>2. PERTINENCIA</c:v>
                </c:pt>
              </c:strCache>
            </c:strRef>
          </c:tx>
          <c:cat>
            <c:strRef>
              <c:f>Hoja1!$B$2:$I$3</c:f>
              <c:strCache>
                <c:ptCount val="7"/>
                <c:pt idx="0">
                  <c:v>GESTION DIRECTIVA</c:v>
                </c:pt>
                <c:pt idx="2">
                  <c:v>GESTION ACADEMICA</c:v>
                </c:pt>
                <c:pt idx="4">
                  <c:v>GESTION ADMINISTRATIVA Y FINANCIERA</c:v>
                </c:pt>
                <c:pt idx="6">
                  <c:v>GESTION DE LA COMUNIDAD</c:v>
                </c:pt>
              </c:strCache>
            </c:strRef>
          </c:cat>
          <c:val>
            <c:numRef>
              <c:f>Hoja1!$B$5:$I$5</c:f>
              <c:numCache>
                <c:formatCode>General</c:formatCode>
                <c:ptCount val="8"/>
                <c:pt idx="0" formatCode="0%">
                  <c:v>6.0000000000000026E-2</c:v>
                </c:pt>
                <c:pt idx="2" formatCode="0%">
                  <c:v>0.15000000000000008</c:v>
                </c:pt>
                <c:pt idx="4" formatCode="0%">
                  <c:v>0.11000000000000001</c:v>
                </c:pt>
                <c:pt idx="6" formatCode="0%">
                  <c:v>0.14000000000000001</c:v>
                </c:pt>
              </c:numCache>
            </c:numRef>
          </c:val>
        </c:ser>
        <c:ser>
          <c:idx val="2"/>
          <c:order val="2"/>
          <c:tx>
            <c:strRef>
              <c:f>Hoja1!$A$6</c:f>
              <c:strCache>
                <c:ptCount val="1"/>
                <c:pt idx="0">
                  <c:v>3. APROPIACION</c:v>
                </c:pt>
              </c:strCache>
            </c:strRef>
          </c:tx>
          <c:cat>
            <c:strRef>
              <c:f>Hoja1!$B$2:$I$3</c:f>
              <c:strCache>
                <c:ptCount val="7"/>
                <c:pt idx="0">
                  <c:v>GESTION DIRECTIVA</c:v>
                </c:pt>
                <c:pt idx="2">
                  <c:v>GESTION ACADEMICA</c:v>
                </c:pt>
                <c:pt idx="4">
                  <c:v>GESTION ADMINISTRATIVA Y FINANCIERA</c:v>
                </c:pt>
                <c:pt idx="6">
                  <c:v>GESTION DE LA COMUNIDAD</c:v>
                </c:pt>
              </c:strCache>
            </c:strRef>
          </c:cat>
          <c:val>
            <c:numRef>
              <c:f>Hoja1!$B$6:$I$6</c:f>
              <c:numCache>
                <c:formatCode>General</c:formatCode>
                <c:ptCount val="8"/>
                <c:pt idx="0" formatCode="0%">
                  <c:v>0.56000000000000005</c:v>
                </c:pt>
                <c:pt idx="2" formatCode="0%">
                  <c:v>0.53</c:v>
                </c:pt>
                <c:pt idx="4" formatCode="0%">
                  <c:v>0.27</c:v>
                </c:pt>
                <c:pt idx="6" formatCode="0%">
                  <c:v>0.29000000000000015</c:v>
                </c:pt>
              </c:numCache>
            </c:numRef>
          </c:val>
        </c:ser>
        <c:ser>
          <c:idx val="3"/>
          <c:order val="3"/>
          <c:tx>
            <c:strRef>
              <c:f>Hoja1!$A$7</c:f>
              <c:strCache>
                <c:ptCount val="1"/>
                <c:pt idx="0">
                  <c:v>4. MEJORAMIENTO CONTINUO</c:v>
                </c:pt>
              </c:strCache>
            </c:strRef>
          </c:tx>
          <c:cat>
            <c:strRef>
              <c:f>Hoja1!$B$2:$I$3</c:f>
              <c:strCache>
                <c:ptCount val="7"/>
                <c:pt idx="0">
                  <c:v>GESTION DIRECTIVA</c:v>
                </c:pt>
                <c:pt idx="2">
                  <c:v>GESTION ACADEMICA</c:v>
                </c:pt>
                <c:pt idx="4">
                  <c:v>GESTION ADMINISTRATIVA Y FINANCIERA</c:v>
                </c:pt>
                <c:pt idx="6">
                  <c:v>GESTION DE LA COMUNIDAD</c:v>
                </c:pt>
              </c:strCache>
            </c:strRef>
          </c:cat>
          <c:val>
            <c:numRef>
              <c:f>Hoja1!$B$7:$I$7</c:f>
              <c:numCache>
                <c:formatCode>General</c:formatCode>
                <c:ptCount val="8"/>
                <c:pt idx="0" formatCode="0%">
                  <c:v>0.35000000000000014</c:v>
                </c:pt>
                <c:pt idx="2" formatCode="0%">
                  <c:v>0.32000000000000017</c:v>
                </c:pt>
                <c:pt idx="4" formatCode="0%">
                  <c:v>0.35000000000000014</c:v>
                </c:pt>
                <c:pt idx="6" formatCode="0%">
                  <c:v>0.21000000000000008</c:v>
                </c:pt>
              </c:numCache>
            </c:numRef>
          </c:val>
        </c:ser>
        <c:axId val="160857472"/>
        <c:axId val="175285376"/>
      </c:barChart>
      <c:catAx>
        <c:axId val="160857472"/>
        <c:scaling>
          <c:orientation val="minMax"/>
        </c:scaling>
        <c:axPos val="b"/>
        <c:tickLblPos val="nextTo"/>
        <c:crossAx val="175285376"/>
        <c:crosses val="autoZero"/>
        <c:auto val="1"/>
        <c:lblAlgn val="ctr"/>
        <c:lblOffset val="100"/>
      </c:catAx>
      <c:valAx>
        <c:axId val="175285376"/>
        <c:scaling>
          <c:orientation val="minMax"/>
        </c:scaling>
        <c:axPos val="l"/>
        <c:majorGridlines/>
        <c:numFmt formatCode="0%" sourceLinked="1"/>
        <c:tickLblPos val="nextTo"/>
        <c:crossAx val="16085747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The houze!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ARTESANIAS</dc:creator>
  <cp:keywords/>
  <dc:description/>
  <cp:lastModifiedBy>montañ</cp:lastModifiedBy>
  <cp:revision>2</cp:revision>
  <cp:lastPrinted>2008-12-28T16:17:00Z</cp:lastPrinted>
  <dcterms:created xsi:type="dcterms:W3CDTF">2008-12-28T16:19:00Z</dcterms:created>
  <dcterms:modified xsi:type="dcterms:W3CDTF">2008-12-28T16:19:00Z</dcterms:modified>
</cp:coreProperties>
</file>